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2C342F">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33747781">
      <w:pPr>
        <w:spacing w:line="540" w:lineRule="exact"/>
        <w:jc w:val="center"/>
        <w:rPr>
          <w:rFonts w:ascii="方正小标宋_GBK" w:hAnsi="华文中宋" w:eastAsia="方正小标宋_GBK" w:cs="宋体"/>
          <w:b/>
          <w:kern w:val="0"/>
          <w:sz w:val="48"/>
          <w:szCs w:val="48"/>
        </w:rPr>
      </w:pPr>
    </w:p>
    <w:p w14:paraId="35EFB448">
      <w:pPr>
        <w:spacing w:line="540" w:lineRule="exact"/>
        <w:jc w:val="center"/>
        <w:rPr>
          <w:rFonts w:ascii="方正小标宋_GBK" w:hAnsi="华文中宋" w:eastAsia="方正小标宋_GBK" w:cs="宋体"/>
          <w:b/>
          <w:kern w:val="0"/>
          <w:sz w:val="48"/>
          <w:szCs w:val="48"/>
        </w:rPr>
      </w:pPr>
    </w:p>
    <w:p w14:paraId="0DEBB6C4">
      <w:pPr>
        <w:spacing w:line="540" w:lineRule="exact"/>
        <w:jc w:val="center"/>
        <w:rPr>
          <w:rFonts w:ascii="方正小标宋_GBK" w:hAnsi="华文中宋" w:eastAsia="方正小标宋_GBK" w:cs="宋体"/>
          <w:b/>
          <w:kern w:val="0"/>
          <w:sz w:val="48"/>
          <w:szCs w:val="48"/>
        </w:rPr>
      </w:pPr>
    </w:p>
    <w:p w14:paraId="04B27601">
      <w:pPr>
        <w:spacing w:line="540" w:lineRule="exact"/>
        <w:jc w:val="center"/>
        <w:rPr>
          <w:rFonts w:ascii="方正小标宋_GBK" w:hAnsi="华文中宋" w:eastAsia="方正小标宋_GBK" w:cs="宋体"/>
          <w:b/>
          <w:kern w:val="0"/>
          <w:sz w:val="48"/>
          <w:szCs w:val="48"/>
        </w:rPr>
      </w:pPr>
    </w:p>
    <w:p w14:paraId="3B7B8D46">
      <w:pPr>
        <w:spacing w:line="540" w:lineRule="exact"/>
        <w:jc w:val="center"/>
        <w:rPr>
          <w:rFonts w:ascii="方正小标宋_GBK" w:hAnsi="华文中宋" w:eastAsia="方正小标宋_GBK" w:cs="宋体"/>
          <w:b/>
          <w:kern w:val="0"/>
          <w:sz w:val="48"/>
          <w:szCs w:val="48"/>
        </w:rPr>
      </w:pPr>
    </w:p>
    <w:p w14:paraId="08E9CBE7">
      <w:pPr>
        <w:spacing w:line="540" w:lineRule="exact"/>
        <w:jc w:val="center"/>
        <w:rPr>
          <w:rFonts w:ascii="方正小标宋_GBK" w:hAnsi="华文中宋" w:eastAsia="方正小标宋_GBK" w:cs="宋体"/>
          <w:b/>
          <w:kern w:val="0"/>
          <w:sz w:val="48"/>
          <w:szCs w:val="48"/>
        </w:rPr>
      </w:pPr>
    </w:p>
    <w:p w14:paraId="4A5AA62D">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14:paraId="770B9D3D">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267D8553">
      <w:pPr>
        <w:spacing w:line="540" w:lineRule="exact"/>
        <w:jc w:val="center"/>
        <w:rPr>
          <w:rFonts w:ascii="华文中宋" w:hAnsi="华文中宋" w:eastAsia="华文中宋" w:cs="宋体"/>
          <w:b/>
          <w:kern w:val="0"/>
          <w:sz w:val="52"/>
          <w:szCs w:val="52"/>
        </w:rPr>
      </w:pPr>
    </w:p>
    <w:p w14:paraId="15B728EA">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40DD4ED3">
      <w:pPr>
        <w:spacing w:line="700" w:lineRule="exact"/>
        <w:jc w:val="left"/>
        <w:rPr>
          <w:rFonts w:hint="eastAsia" w:hAnsi="宋体" w:eastAsia="仿宋_GB2312" w:cs="宋体"/>
          <w:kern w:val="0"/>
          <w:sz w:val="36"/>
          <w:szCs w:val="36"/>
        </w:rPr>
      </w:pPr>
    </w:p>
    <w:p w14:paraId="0316138D">
      <w:pPr>
        <w:spacing w:line="700" w:lineRule="exact"/>
        <w:jc w:val="left"/>
        <w:rPr>
          <w:rFonts w:hint="eastAsia" w:hAnsi="宋体" w:eastAsia="仿宋_GB2312" w:cs="宋体"/>
          <w:kern w:val="0"/>
          <w:sz w:val="36"/>
          <w:szCs w:val="36"/>
        </w:rPr>
      </w:pPr>
    </w:p>
    <w:p w14:paraId="71A98065">
      <w:pPr>
        <w:spacing w:line="700" w:lineRule="exact"/>
        <w:jc w:val="left"/>
        <w:rPr>
          <w:rFonts w:hint="eastAsia" w:hAnsi="宋体" w:eastAsia="仿宋_GB2312" w:cs="宋体"/>
          <w:kern w:val="0"/>
          <w:sz w:val="36"/>
          <w:szCs w:val="36"/>
          <w:lang w:eastAsia="zh-CN"/>
        </w:rPr>
      </w:pPr>
    </w:p>
    <w:p w14:paraId="0A78D95B">
      <w:pPr>
        <w:spacing w:line="700" w:lineRule="exact"/>
        <w:jc w:val="left"/>
        <w:rPr>
          <w:rFonts w:hint="eastAsia" w:hAnsi="宋体" w:eastAsia="仿宋_GB2312" w:cs="宋体"/>
          <w:kern w:val="0"/>
          <w:sz w:val="36"/>
          <w:szCs w:val="36"/>
          <w:lang w:eastAsia="zh-CN"/>
        </w:rPr>
      </w:pPr>
    </w:p>
    <w:p w14:paraId="225DE168">
      <w:pPr>
        <w:spacing w:line="700" w:lineRule="exact"/>
        <w:jc w:val="left"/>
        <w:rPr>
          <w:rFonts w:hint="eastAsia" w:hAnsi="宋体" w:eastAsia="仿宋_GB2312" w:cs="宋体"/>
          <w:kern w:val="0"/>
          <w:sz w:val="36"/>
          <w:szCs w:val="36"/>
          <w:lang w:eastAsia="zh-CN"/>
        </w:rPr>
      </w:pPr>
    </w:p>
    <w:p w14:paraId="4C23EF5D">
      <w:pPr>
        <w:spacing w:line="700" w:lineRule="exact"/>
        <w:jc w:val="left"/>
        <w:rPr>
          <w:rFonts w:hint="eastAsia" w:hAnsi="宋体" w:eastAsia="仿宋_GB2312" w:cs="宋体"/>
          <w:kern w:val="0"/>
          <w:sz w:val="36"/>
          <w:szCs w:val="36"/>
          <w:lang w:eastAsia="zh-CN"/>
        </w:rPr>
      </w:pPr>
    </w:p>
    <w:p w14:paraId="1FA01706">
      <w:pPr>
        <w:spacing w:line="540" w:lineRule="exact"/>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克州乌市第二干休所</w:t>
      </w:r>
    </w:p>
    <w:p w14:paraId="470029B5">
      <w:pPr>
        <w:spacing w:line="540" w:lineRule="exact"/>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14:paraId="06B65C16">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14:paraId="22414E8D">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14:paraId="27DCD7AE">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克州驻乌第二干休所是自治州党委老干部局主管退休干部工作的工作机关，主要职责是：</w:t>
      </w:r>
      <w:r>
        <w:rPr>
          <w:rFonts w:hint="eastAsia" w:ascii="仿宋_GB2312" w:hAnsi="宋体" w:eastAsia="仿宋_GB2312"/>
          <w:b w:val="0"/>
          <w:bCs/>
          <w:sz w:val="32"/>
          <w:szCs w:val="32"/>
        </w:rPr>
        <w:cr/>
      </w:r>
      <w:r>
        <w:rPr>
          <w:rFonts w:hint="eastAsia" w:ascii="仿宋_GB2312" w:hAnsi="宋体" w:eastAsia="仿宋_GB2312"/>
          <w:b w:val="0"/>
          <w:bCs/>
          <w:sz w:val="32"/>
          <w:szCs w:val="32"/>
        </w:rPr>
        <w:t>　　（1）负责指导自治州退休干部政治建设、思想建设和党组织建设，组织引导退休干部在贯彻以习近平同志为核心的党中央治疆方略，为党和人民事业增添正能量。</w:t>
      </w:r>
      <w:r>
        <w:rPr>
          <w:rFonts w:hint="eastAsia" w:ascii="仿宋_GB2312" w:hAnsi="宋体" w:eastAsia="仿宋_GB2312"/>
          <w:b w:val="0"/>
          <w:bCs/>
          <w:sz w:val="32"/>
          <w:szCs w:val="32"/>
        </w:rPr>
        <w:cr/>
      </w:r>
      <w:r>
        <w:rPr>
          <w:rFonts w:hint="eastAsia" w:ascii="仿宋_GB2312" w:hAnsi="宋体" w:eastAsia="仿宋_GB2312"/>
          <w:b w:val="0"/>
          <w:bCs/>
          <w:sz w:val="32"/>
          <w:szCs w:val="32"/>
        </w:rPr>
        <w:t>　　（2）组织开展自治州退休干部工作调查研究，制定自治州退休干部工作的具体意见和措施。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（3）负责自治州退休干部工作政策业务的指导和检查工作，并办理相关业务，督促有关部门落实离退休干部政治待遇和生活待遇。</w:t>
      </w:r>
      <w:r>
        <w:rPr>
          <w:rFonts w:hint="eastAsia" w:ascii="仿宋_GB2312" w:hAnsi="宋体" w:eastAsia="仿宋_GB2312"/>
          <w:b w:val="0"/>
          <w:bCs/>
          <w:sz w:val="32"/>
          <w:szCs w:val="32"/>
        </w:rPr>
        <w:cr/>
      </w:r>
      <w:r>
        <w:rPr>
          <w:rFonts w:hint="eastAsia" w:ascii="仿宋_GB2312" w:hAnsi="宋体" w:eastAsia="仿宋_GB2312"/>
          <w:b w:val="0"/>
          <w:bCs/>
          <w:sz w:val="32"/>
          <w:szCs w:val="32"/>
        </w:rPr>
        <w:t>　　（4）负责推动自治州退休干部工作精准化、信息化建设；指导全州老干部工作部门自身建设。</w:t>
      </w:r>
      <w:r>
        <w:rPr>
          <w:rFonts w:hint="eastAsia" w:ascii="仿宋_GB2312" w:hAnsi="宋体" w:eastAsia="仿宋_GB2312"/>
          <w:b w:val="0"/>
          <w:bCs/>
          <w:sz w:val="32"/>
          <w:szCs w:val="32"/>
        </w:rPr>
        <w:cr/>
      </w:r>
      <w:r>
        <w:rPr>
          <w:rFonts w:hint="eastAsia" w:ascii="仿宋_GB2312" w:hAnsi="宋体" w:eastAsia="仿宋_GB2312"/>
          <w:b w:val="0"/>
          <w:bCs/>
          <w:sz w:val="32"/>
          <w:szCs w:val="32"/>
        </w:rPr>
        <w:t>　　（5）组织协调开展退休干部各项活动；严格管理、合理使用退休干部各项专用经费。</w:t>
      </w:r>
      <w:r>
        <w:rPr>
          <w:rFonts w:hint="eastAsia" w:ascii="仿宋_GB2312" w:hAnsi="宋体" w:eastAsia="仿宋_GB2312"/>
          <w:b w:val="0"/>
          <w:bCs/>
          <w:sz w:val="32"/>
          <w:szCs w:val="32"/>
        </w:rPr>
        <w:cr/>
      </w:r>
      <w:r>
        <w:rPr>
          <w:rFonts w:hint="eastAsia" w:ascii="仿宋_GB2312" w:hAnsi="宋体" w:eastAsia="仿宋_GB2312"/>
          <w:b w:val="0"/>
          <w:bCs/>
          <w:sz w:val="32"/>
          <w:szCs w:val="32"/>
        </w:rPr>
        <w:t>　　（6）负责宣传党的退休干部工作方针政策及自治区，自治州典型经验做法。</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（7）完成自治州党委老干部局交办的其他任务。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孜勒苏柯尔克孜自治州驻乌鲁木齐第二干休所无下属预算单位，下设1个科室，分财务室，负责本单位的财务工作。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克州驻乌第二干休所编制数3人，实有人数3人，其中：在职3人。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强化制度意识，增强老干部工作制度建设的责任感、使命感。以高度的政治责任感和“等不起”、“慢不得”、“坐不住”的紧迫感，强化制度意识，带头维护制度权威，把制度建设放到老干部工作全局中把握，保持制度建设方向准、目标清、重点明，始终服从服务大局。</w:t>
      </w:r>
      <w:r>
        <w:rPr>
          <w:rFonts w:hint="eastAsia" w:ascii="仿宋_GB2312" w:hAnsi="宋体" w:eastAsia="仿宋_GB2312"/>
          <w:b w:val="0"/>
          <w:bCs/>
          <w:sz w:val="32"/>
          <w:szCs w:val="32"/>
        </w:rPr>
        <w:cr/>
      </w:r>
      <w:r>
        <w:rPr>
          <w:rFonts w:hint="eastAsia" w:ascii="仿宋_GB2312" w:hAnsi="宋体" w:eastAsia="仿宋_GB2312"/>
          <w:b w:val="0"/>
          <w:bCs/>
          <w:sz w:val="32"/>
          <w:szCs w:val="32"/>
        </w:rPr>
        <w:t>　　(1)强化政治意识，全面加强思想政治建设。加强离退休干部理论学习，进一步巩固“不忘初心、牢记使命”主题教育成果坚持把学习贯彻习近平新时代中国特色社会主义思想、中央治疆方略、新疆工作总目标作为根本任务，经常组织老干部党员学习主题内容，</w:t>
      </w:r>
      <w:r>
        <w:rPr>
          <w:rFonts w:hint="eastAsia" w:ascii="仿宋_GB2312" w:hAnsi="宋体" w:eastAsia="仿宋_GB2312"/>
          <w:b w:val="0"/>
          <w:bCs/>
          <w:sz w:val="32"/>
          <w:szCs w:val="32"/>
          <w:lang w:eastAsia="zh-CN"/>
        </w:rPr>
        <w:t>增强“四个意识”、坚定“四个自信”、做到“两个维护”</w:t>
      </w:r>
      <w:r>
        <w:rPr>
          <w:rFonts w:hint="eastAsia" w:ascii="仿宋_GB2312" w:hAnsi="宋体" w:eastAsia="仿宋_GB2312"/>
          <w:b w:val="0"/>
          <w:bCs/>
          <w:sz w:val="32"/>
          <w:szCs w:val="32"/>
        </w:rPr>
        <w:cr/>
      </w:r>
      <w:r>
        <w:rPr>
          <w:rFonts w:hint="eastAsia" w:ascii="仿宋_GB2312" w:hAnsi="宋体" w:eastAsia="仿宋_GB2312"/>
          <w:b w:val="0"/>
          <w:bCs/>
          <w:sz w:val="32"/>
          <w:szCs w:val="32"/>
        </w:rPr>
        <w:t>　　（2）以放心满意为目标，精准精细做好老干部服务管理工作。坚持和完善离退休干部情况通报，细化完善离休干部“三个机制”，健全离休干部“一人一策”服务机制，协调解决医疗护理、紧急救助、家政服务、精神</w:t>
      </w:r>
      <w:r>
        <w:rPr>
          <w:rFonts w:hint="eastAsia" w:ascii="仿宋_GB2312" w:hAnsi="宋体" w:eastAsia="仿宋_GB2312"/>
          <w:b w:val="0"/>
          <w:bCs/>
          <w:sz w:val="32"/>
          <w:szCs w:val="32"/>
          <w:lang w:eastAsia="zh-CN"/>
        </w:rPr>
        <w:t>慰藉</w:t>
      </w:r>
      <w:r>
        <w:rPr>
          <w:rFonts w:hint="eastAsia" w:ascii="仿宋_GB2312" w:hAnsi="宋体" w:eastAsia="仿宋_GB2312"/>
          <w:b w:val="0"/>
          <w:bCs/>
          <w:sz w:val="32"/>
          <w:szCs w:val="32"/>
        </w:rPr>
        <w:t>等方面的困难，提供更多个性化、多样化、亲情化服务。</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驻乌第二干休所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（1）预算管理：领导班子是预算管理决策机构，负责研究单位年度预算、财政信息公开、预算绩效管理等重大事项。按照“三重一大”制度规定重大项目支出上党组会研究决定。</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合同管理办法》相关规定，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68.26万元，项目支出安排资金22.68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本单位2021年度项目支出22.68万元，涉及项目数量2个，其中：重点项目支出21万元，涉及重点项目数量1个，重点项目支出与部门项目总支出的比率为92.59%。</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2021年度本单位年初批复部门预算资金总额为135.86万元，年中调增预算总额为44.92万元，调整后全年预算资金总额为90.94万元。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2021年度本单位部门整体支出资金总额为90.94万元，预算执行率为100%，预算调整率为</w:t>
      </w:r>
      <w:r>
        <w:rPr>
          <w:rFonts w:hint="eastAsia" w:ascii="仿宋_GB2312" w:hAnsi="宋体" w:eastAsia="仿宋_GB2312"/>
          <w:b w:val="0"/>
          <w:bCs/>
          <w:sz w:val="32"/>
          <w:szCs w:val="32"/>
          <w:lang w:val="en-US" w:eastAsia="zh-CN"/>
        </w:rPr>
        <w:t>33.06</w:t>
      </w:r>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年初政府采购预算数为0万元，实际政府采购数为0万元，政府采购执行率为0%。</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14:paraId="61BA78C1">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14:paraId="1E5574DC">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　　（一）预算管理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为加强我单位预算管理、规范财务行为我单位制定了《克州驻乌第二干休所内部控制规范》《克州驻乌第二干休所项目管理规范》等资金管理制度，已建立制度均健全且有效运行。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2021年度我单位基本支出预算总额为68.26万元，其中人员经费37.53万元，公用经费30.73万元。实际执行总额为68.26万元，预算执行率100%。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无三公经费。</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2021年度本单位项目支出预算总额为22.68万元，实际执行资金总额为22.68万元，预算执行率为100%。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2021年度预算安排本级财力资金22.68万元，实际支出资金22.68万元，预算执行率为100%，涉及项目个数2个，各项目详细执行情况如下：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离退休党组织书记工作补贴项目:全年预算数为1.68万元，预算执行数为1.68万元，预算执行率为100%；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运行及维修费项目:全年预算数为21万元，预算执行数为21万元，预算执行率为100%。</w:t>
      </w:r>
    </w:p>
    <w:p w14:paraId="35EAC858">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14:paraId="627E3A0B">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无。</w:t>
      </w:r>
    </w:p>
    <w:p w14:paraId="1749910B">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14:paraId="3CB4F285">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本单位2021年初资产合计数为70.82万元，年末资产合计数为64.50万元。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截止本年度固定资产账面净值23.83万元，年末实际在用固定资产23.83万元，固定资产利用率为100%。</w:t>
      </w:r>
    </w:p>
    <w:p w14:paraId="7F4A9466">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14:paraId="0D16E581">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部门单位整体支出共设置一级指标3个，二级指标7个，三级指标12个，其中已完成三级指标12个，指标完成率为100%。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“保障人员人数”指标：预期指标值为=3人等于，实际完成指标值为3人，指标完成率为100%。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“开展老干部活动次数”指标：预期指标值为=6次，实际完成指标值为6次，指标完成率为100%。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“改造管沟”指标：预期指标值为=1400米，实际完成指标值为1400米，指标完成率为100%。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“日常维修次数”指标：预期指标值为等于=6次，实际完成指标值为6次，指标完成率为100%。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“管道改造合格率”指标：预期指标值为=100%，实际完成指标值为100%，指标完成率为100%。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“管道改造及时率”指标：预期指标值为=100%，实际完成指标值为100%，指标完成率为100%。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“公用经费”指标：预期指标值为=26.47万元，实际完成指标值为26.47万元，指标完成率为100%。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“人员经费”指标：预期指标值为=31.71万元，实际完成指标值为31.71万元，指标完成率为100%。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“项目经费”指标：预期指标值为=77.68万元，实际完成指标值为22.68万元，指标完成率为29.17%。偏差原因：预算中55万元做入事业单位经营收入，55万元为干休所收住户物业费。改进措施：做好年初预算。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“提高离退休老干部生活质量”指标：预期指标值为有效提高，实际完成指标值为100%，指标完成率为100%。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“保障活动安全开展”指标：预期指标值为有效保障，实际完成指标值为100%，指标完成率为100%。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“受益退休人员满意度”指标：预期指标值为大于等于95%，实际完成指标值为95%，指标完成率为100%。</w:t>
      </w:r>
    </w:p>
    <w:p w14:paraId="14BB3EF5">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14:paraId="4997D183">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14:paraId="20F12859">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14:paraId="1C9D2013">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p w14:paraId="41067C5B"/>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0F80FFA"/>
    <w:rsid w:val="020B07BA"/>
    <w:rsid w:val="02656D15"/>
    <w:rsid w:val="06696209"/>
    <w:rsid w:val="0D1922F1"/>
    <w:rsid w:val="108622B3"/>
    <w:rsid w:val="1438599A"/>
    <w:rsid w:val="200F4073"/>
    <w:rsid w:val="24B86128"/>
    <w:rsid w:val="32B25001"/>
    <w:rsid w:val="42A6360C"/>
    <w:rsid w:val="51C70EA9"/>
    <w:rsid w:val="54F842B6"/>
    <w:rsid w:val="58D108DA"/>
    <w:rsid w:val="5C4E611F"/>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6871</Words>
  <Characters>7179</Characters>
  <Lines>2</Lines>
  <Paragraphs>1</Paragraphs>
  <TotalTime>0</TotalTime>
  <ScaleCrop>false</ScaleCrop>
  <LinksUpToDate>false</LinksUpToDate>
  <CharactersWithSpaces>7406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盛夏之末√</cp:lastModifiedBy>
  <dcterms:modified xsi:type="dcterms:W3CDTF">2025-07-31T03:32:36Z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4E2A216151A24EE5A190066F518526B7</vt:lpwstr>
  </property>
  <property fmtid="{D5CDD505-2E9C-101B-9397-08002B2CF9AE}" pid="4" name="KSOTemplateDocerSaveRecord">
    <vt:lpwstr>eyJoZGlkIjoiZjFmZWIzNDg2MmIzZjExOTIzMmViNTBmYTMwYTk0ZWYiLCJ1c2VySWQiOiI0MzIyODY2NzMifQ==</vt:lpwstr>
  </property>
</Properties>
</file>